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943" w:rsidRPr="005D12A0" w:rsidRDefault="00A74943" w:rsidP="00A74943">
      <w:pPr>
        <w:pStyle w:val="Heading1"/>
        <w:tabs>
          <w:tab w:val="clear" w:pos="0"/>
          <w:tab w:val="num" w:pos="360"/>
        </w:tabs>
        <w:spacing w:before="120"/>
        <w:rPr>
          <w:rFonts w:ascii="HigherStandards" w:hAnsi="HigherStandards"/>
          <w:sz w:val="24"/>
        </w:rPr>
      </w:pPr>
      <w:r>
        <w:rPr>
          <w:rFonts w:ascii="HigherStandards" w:hAnsi="HigherStandards"/>
          <w:sz w:val="24"/>
        </w:rPr>
        <w:t>Instructions</w:t>
      </w:r>
    </w:p>
    <w:p w:rsidR="000F214B" w:rsidRDefault="000F214B" w:rsidP="000F214B">
      <w:pPr>
        <w:ind w:left="360"/>
        <w:rPr>
          <w:rFonts w:ascii="HigherStandards-Light" w:hAnsi="HigherStandards-Light" w:cs="Arial"/>
          <w:sz w:val="20"/>
          <w:szCs w:val="20"/>
        </w:rPr>
      </w:pPr>
      <w:r>
        <w:rPr>
          <w:rFonts w:ascii="HigherStandards-Light" w:hAnsi="HigherStandards-Light" w:cs="Arial"/>
          <w:sz w:val="20"/>
          <w:szCs w:val="20"/>
        </w:rPr>
        <w:t>AgilityHealth will provide SAML Metadata files for both dev and production environments.  C</w:t>
      </w:r>
      <w:r w:rsidR="00C70A1B">
        <w:rPr>
          <w:rFonts w:ascii="HigherStandards-Light" w:hAnsi="HigherStandards-Light" w:cs="Arial"/>
          <w:sz w:val="20"/>
          <w:szCs w:val="20"/>
        </w:rPr>
        <w:t>ustomer</w:t>
      </w:r>
      <w:r>
        <w:rPr>
          <w:rFonts w:ascii="HigherStandards-Light" w:hAnsi="HigherStandards-Light" w:cs="Arial"/>
          <w:sz w:val="20"/>
          <w:szCs w:val="20"/>
        </w:rPr>
        <w:t xml:space="preserve"> should in turn share metadata files for the IdP SAML configuration.  If metadata files are unavailable the following information is required for both Dev/Prod environments</w:t>
      </w:r>
    </w:p>
    <w:p w:rsidR="000F214B" w:rsidRDefault="000F214B" w:rsidP="000F214B">
      <w:pPr>
        <w:ind w:left="360"/>
        <w:rPr>
          <w:rFonts w:ascii="HigherStandards-Light" w:hAnsi="HigherStandards-Light" w:cs="Arial"/>
          <w:sz w:val="20"/>
          <w:szCs w:val="20"/>
        </w:rPr>
      </w:pPr>
    </w:p>
    <w:p w:rsidR="000F214B" w:rsidRPr="000F214B" w:rsidRDefault="000F214B" w:rsidP="000F214B">
      <w:pPr>
        <w:ind w:left="360"/>
        <w:rPr>
          <w:rFonts w:ascii="HigherStandards-Light" w:hAnsi="HigherStandards-Light" w:cs="Arial"/>
          <w:sz w:val="20"/>
          <w:szCs w:val="20"/>
          <w:highlight w:val="yellow"/>
        </w:rPr>
      </w:pPr>
      <w:r w:rsidRPr="000F214B">
        <w:rPr>
          <w:rFonts w:ascii="HigherStandards-Light" w:hAnsi="HigherStandards-Light" w:cs="Arial"/>
          <w:sz w:val="20"/>
          <w:szCs w:val="20"/>
          <w:highlight w:val="yellow"/>
        </w:rPr>
        <w:t>IdP Entity Id:</w:t>
      </w:r>
    </w:p>
    <w:p w:rsidR="000F214B" w:rsidRPr="000F214B" w:rsidRDefault="000F214B" w:rsidP="000F214B">
      <w:pPr>
        <w:ind w:left="360"/>
        <w:rPr>
          <w:rFonts w:ascii="HigherStandards-Light" w:hAnsi="HigherStandards-Light" w:cs="Arial"/>
          <w:sz w:val="20"/>
          <w:szCs w:val="20"/>
          <w:highlight w:val="yellow"/>
        </w:rPr>
      </w:pPr>
      <w:r w:rsidRPr="000F214B">
        <w:rPr>
          <w:rFonts w:ascii="HigherStandards-Light" w:hAnsi="HigherStandards-Light" w:cs="Arial"/>
          <w:sz w:val="20"/>
          <w:szCs w:val="20"/>
          <w:highlight w:val="yellow"/>
        </w:rPr>
        <w:t>SSO Login Url:</w:t>
      </w:r>
    </w:p>
    <w:p w:rsidR="000F214B" w:rsidRPr="000F214B" w:rsidRDefault="000F214B" w:rsidP="000F214B">
      <w:pPr>
        <w:ind w:left="360"/>
        <w:rPr>
          <w:rFonts w:ascii="HigherStandards-Light" w:hAnsi="HigherStandards-Light" w:cs="Arial"/>
          <w:sz w:val="20"/>
          <w:szCs w:val="20"/>
        </w:rPr>
      </w:pPr>
      <w:r w:rsidRPr="000F214B">
        <w:rPr>
          <w:rFonts w:ascii="HigherStandards-Light" w:hAnsi="HigherStandards-Light" w:cs="Arial"/>
          <w:sz w:val="20"/>
          <w:szCs w:val="20"/>
          <w:highlight w:val="yellow"/>
        </w:rPr>
        <w:t>X509 Certificate for Response Signing:</w:t>
      </w:r>
    </w:p>
    <w:p w:rsidR="00A74943" w:rsidRPr="005D12A0" w:rsidRDefault="00A74943" w:rsidP="00A74943">
      <w:pPr>
        <w:pStyle w:val="Heading1"/>
        <w:tabs>
          <w:tab w:val="clear" w:pos="0"/>
          <w:tab w:val="num" w:pos="360"/>
        </w:tabs>
        <w:spacing w:before="120"/>
        <w:rPr>
          <w:rFonts w:ascii="HigherStandards" w:hAnsi="HigherStandards"/>
          <w:sz w:val="24"/>
        </w:rPr>
      </w:pPr>
      <w:r w:rsidRPr="005D12A0">
        <w:rPr>
          <w:rFonts w:ascii="HigherStandards" w:hAnsi="HigherStandards"/>
          <w:sz w:val="24"/>
        </w:rPr>
        <w:t>Service Provider Information</w:t>
      </w:r>
    </w:p>
    <w:p w:rsidR="00A74943" w:rsidRPr="00FF7D86" w:rsidRDefault="00A74943" w:rsidP="00FF7D86">
      <w:pPr>
        <w:ind w:left="360"/>
        <w:rPr>
          <w:rFonts w:ascii="HigherStandards-Light" w:hAnsi="HigherStandards-Light"/>
          <w:b/>
          <w:sz w:val="20"/>
        </w:rPr>
      </w:pPr>
      <w:r>
        <w:rPr>
          <w:rFonts w:ascii="HigherStandards-Light" w:hAnsi="HigherStandards-Light"/>
          <w:sz w:val="20"/>
        </w:rPr>
        <w:t>The following information is required for tracking and notification purposes.</w:t>
      </w:r>
      <w:r w:rsidR="00FF7D86">
        <w:rPr>
          <w:rFonts w:ascii="HigherStandards-Light" w:hAnsi="HigherStandards-Light"/>
          <w:sz w:val="20"/>
        </w:rPr>
        <w:t xml:space="preserve"> </w:t>
      </w:r>
    </w:p>
    <w:p w:rsidR="00A74943" w:rsidRDefault="00A74943" w:rsidP="00A74943">
      <w:pPr>
        <w:ind w:firstLine="360"/>
        <w:rPr>
          <w:rFonts w:ascii="HigherStandards-Light" w:hAnsi="HigherStandards-Light"/>
          <w:sz w:val="20"/>
        </w:rPr>
      </w:pPr>
    </w:p>
    <w:p w:rsidR="00A74943" w:rsidRPr="00A74943" w:rsidRDefault="00A74943" w:rsidP="00A74943">
      <w:pPr>
        <w:ind w:firstLine="360"/>
        <w:rPr>
          <w:rFonts w:ascii="Arial Narrow" w:hAnsi="Arial Narrow"/>
          <w:b/>
          <w:highlight w:val="yellow"/>
          <w:u w:val="single"/>
        </w:rPr>
      </w:pPr>
      <w:r w:rsidRPr="00A74943">
        <w:rPr>
          <w:rFonts w:ascii="HigherStandards-Light" w:hAnsi="HigherStandards-Light"/>
          <w:sz w:val="20"/>
          <w:highlight w:val="yellow"/>
        </w:rPr>
        <w:t>Company Name:</w:t>
      </w:r>
      <w:r w:rsidR="000F214B">
        <w:rPr>
          <w:rFonts w:ascii="HigherStandards-Light" w:hAnsi="HigherStandards-Light"/>
          <w:sz w:val="20"/>
          <w:highlight w:val="yellow"/>
        </w:rPr>
        <w:t xml:space="preserve"> Agile Transformation Inc</w:t>
      </w:r>
    </w:p>
    <w:p w:rsidR="00A74943" w:rsidRPr="00A74943" w:rsidRDefault="00A74943" w:rsidP="00A74943">
      <w:pPr>
        <w:ind w:firstLine="360"/>
        <w:rPr>
          <w:rFonts w:ascii="HigherStandards-Light" w:hAnsi="HigherStandards-Light"/>
          <w:sz w:val="20"/>
          <w:highlight w:val="yellow"/>
        </w:rPr>
      </w:pPr>
      <w:r w:rsidRPr="00A74943">
        <w:rPr>
          <w:rFonts w:ascii="HigherStandards-Light" w:hAnsi="HigherStandards-Light"/>
          <w:sz w:val="20"/>
          <w:highlight w:val="yellow"/>
        </w:rPr>
        <w:t>Application</w:t>
      </w:r>
      <w:r w:rsidR="00FF7D86">
        <w:rPr>
          <w:rFonts w:ascii="HigherStandards-Light" w:hAnsi="HigherStandards-Light"/>
          <w:sz w:val="20"/>
          <w:highlight w:val="yellow"/>
        </w:rPr>
        <w:t xml:space="preserve"> Name</w:t>
      </w:r>
      <w:r w:rsidRPr="00A74943">
        <w:rPr>
          <w:rFonts w:ascii="HigherStandards-Light" w:hAnsi="HigherStandards-Light"/>
          <w:sz w:val="20"/>
          <w:highlight w:val="yellow"/>
        </w:rPr>
        <w:t xml:space="preserve">: </w:t>
      </w:r>
      <w:proofErr w:type="spellStart"/>
      <w:r w:rsidR="000F214B">
        <w:rPr>
          <w:rFonts w:ascii="HigherStandards-Light" w:hAnsi="HigherStandards-Light"/>
          <w:sz w:val="20"/>
          <w:highlight w:val="yellow"/>
        </w:rPr>
        <w:t>AgiiltyHealthRadar</w:t>
      </w:r>
      <w:proofErr w:type="spellEnd"/>
    </w:p>
    <w:p w:rsidR="00A74943" w:rsidRPr="00A74943" w:rsidRDefault="000F214B" w:rsidP="00A74943">
      <w:pPr>
        <w:ind w:left="360"/>
        <w:rPr>
          <w:rFonts w:ascii="HigherStandards-Light" w:hAnsi="HigherStandards-Light"/>
          <w:sz w:val="20"/>
          <w:highlight w:val="yellow"/>
        </w:rPr>
      </w:pPr>
      <w:r>
        <w:rPr>
          <w:rFonts w:ascii="HigherStandards-Light" w:hAnsi="HigherStandards-Light"/>
          <w:sz w:val="20"/>
          <w:highlight w:val="yellow"/>
        </w:rPr>
        <w:t xml:space="preserve">Technical </w:t>
      </w:r>
      <w:r w:rsidR="00A74943" w:rsidRPr="00A74943">
        <w:rPr>
          <w:rFonts w:ascii="HigherStandards-Light" w:hAnsi="HigherStandards-Light"/>
          <w:sz w:val="20"/>
          <w:highlight w:val="yellow"/>
        </w:rPr>
        <w:t>Contact Name</w:t>
      </w:r>
      <w:r>
        <w:rPr>
          <w:rFonts w:ascii="HigherStandards-Light" w:hAnsi="HigherStandards-Light"/>
          <w:sz w:val="20"/>
          <w:highlight w:val="yellow"/>
        </w:rPr>
        <w:t>: David Paul</w:t>
      </w:r>
    </w:p>
    <w:p w:rsidR="00A74943" w:rsidRPr="00A74943" w:rsidRDefault="000F214B" w:rsidP="000F214B">
      <w:pPr>
        <w:ind w:firstLine="360"/>
        <w:rPr>
          <w:rFonts w:ascii="HigherStandards-Light" w:hAnsi="HigherStandards-Light"/>
          <w:sz w:val="20"/>
          <w:highlight w:val="yellow"/>
        </w:rPr>
      </w:pPr>
      <w:r>
        <w:rPr>
          <w:rFonts w:ascii="HigherStandards-Light" w:hAnsi="HigherStandards-Light"/>
          <w:sz w:val="20"/>
          <w:highlight w:val="yellow"/>
        </w:rPr>
        <w:t xml:space="preserve">Technical </w:t>
      </w:r>
      <w:r w:rsidR="00A74943" w:rsidRPr="00A74943">
        <w:rPr>
          <w:rFonts w:ascii="HigherStandards-Light" w:hAnsi="HigherStandards-Light"/>
          <w:sz w:val="20"/>
          <w:highlight w:val="yellow"/>
        </w:rPr>
        <w:t>Contact E-Mail</w:t>
      </w:r>
      <w:r>
        <w:rPr>
          <w:rFonts w:ascii="HigherStandards-Light" w:hAnsi="HigherStandards-Light"/>
          <w:sz w:val="20"/>
          <w:highlight w:val="yellow"/>
        </w:rPr>
        <w:t>: dave@agilityhealthradar.com</w:t>
      </w:r>
    </w:p>
    <w:p w:rsidR="00A74943" w:rsidRDefault="00A74943" w:rsidP="00A74943">
      <w:pPr>
        <w:ind w:left="360"/>
        <w:rPr>
          <w:rFonts w:ascii="HigherStandards-Light" w:hAnsi="HigherStandards-Light"/>
          <w:sz w:val="20"/>
        </w:rPr>
      </w:pPr>
    </w:p>
    <w:p w:rsidR="00A74943" w:rsidRPr="005D12A0" w:rsidRDefault="00A74943" w:rsidP="00A74943">
      <w:pPr>
        <w:pStyle w:val="Heading1"/>
        <w:tabs>
          <w:tab w:val="clear" w:pos="0"/>
          <w:tab w:val="num" w:pos="360"/>
        </w:tabs>
        <w:spacing w:before="120"/>
        <w:rPr>
          <w:rFonts w:ascii="HigherStandards" w:hAnsi="HigherStandards"/>
          <w:sz w:val="24"/>
        </w:rPr>
      </w:pPr>
      <w:r>
        <w:rPr>
          <w:rFonts w:ascii="HigherStandards" w:hAnsi="HigherStandards"/>
          <w:sz w:val="24"/>
        </w:rPr>
        <w:t xml:space="preserve">Mutually Defined </w:t>
      </w:r>
      <w:r w:rsidR="00C70A1B">
        <w:rPr>
          <w:rFonts w:ascii="HigherStandards" w:hAnsi="HigherStandards"/>
          <w:sz w:val="24"/>
        </w:rPr>
        <w:t>C</w:t>
      </w:r>
      <w:r>
        <w:rPr>
          <w:rFonts w:ascii="HigherStandards" w:hAnsi="HigherStandards"/>
          <w:sz w:val="24"/>
        </w:rPr>
        <w:t>onfiguration Specifications &amp; Settings</w:t>
      </w:r>
    </w:p>
    <w:p w:rsidR="00A74943" w:rsidRPr="00C879A0" w:rsidRDefault="00A74943" w:rsidP="00A74943">
      <w:pPr>
        <w:ind w:firstLine="360"/>
        <w:jc w:val="both"/>
        <w:rPr>
          <w:rFonts w:ascii="HigherStandards-Light" w:hAnsi="HigherStandards-Light"/>
          <w:b/>
          <w:sz w:val="20"/>
        </w:rPr>
      </w:pPr>
      <w:r w:rsidRPr="00C879A0">
        <w:rPr>
          <w:rFonts w:ascii="HigherStandards-Light" w:hAnsi="HigherStandards-Light"/>
          <w:b/>
          <w:sz w:val="20"/>
        </w:rPr>
        <w:t xml:space="preserve">SAML Specification Standard:  </w:t>
      </w:r>
      <w:r w:rsidRPr="00C879A0">
        <w:rPr>
          <w:rFonts w:ascii="HigherStandards-Light" w:hAnsi="HigherStandards-Light"/>
          <w:b/>
          <w:sz w:val="20"/>
          <w:u w:val="single"/>
        </w:rPr>
        <w:t>SAML 2.0</w:t>
      </w:r>
    </w:p>
    <w:p w:rsidR="00A74943" w:rsidRDefault="00A74943" w:rsidP="00A74943">
      <w:pPr>
        <w:ind w:firstLine="360"/>
        <w:jc w:val="both"/>
        <w:rPr>
          <w:rFonts w:ascii="HigherStandards-Light" w:hAnsi="HigherStandards-Light"/>
          <w:b/>
          <w:sz w:val="20"/>
          <w:u w:val="single"/>
        </w:rPr>
      </w:pPr>
      <w:r>
        <w:rPr>
          <w:rFonts w:ascii="HigherStandards-Light" w:hAnsi="HigherStandards-Light"/>
          <w:b/>
          <w:sz w:val="20"/>
        </w:rPr>
        <w:t>Profile Binding Profile:</w:t>
      </w:r>
      <w:r w:rsidRPr="00C879A0">
        <w:rPr>
          <w:rFonts w:ascii="HigherStandards-Light" w:hAnsi="HigherStandards-Light"/>
          <w:b/>
          <w:sz w:val="20"/>
        </w:rPr>
        <w:t xml:space="preserve"> </w:t>
      </w:r>
      <w:r>
        <w:rPr>
          <w:rFonts w:ascii="HigherStandards-Light" w:hAnsi="HigherStandards-Light"/>
          <w:b/>
          <w:sz w:val="20"/>
        </w:rPr>
        <w:t xml:space="preserve">(Default) </w:t>
      </w:r>
      <w:r w:rsidR="000F214B">
        <w:rPr>
          <w:rFonts w:ascii="HigherStandards-Light" w:hAnsi="HigherStandards-Light"/>
          <w:b/>
          <w:sz w:val="20"/>
          <w:u w:val="single"/>
        </w:rPr>
        <w:t>S</w:t>
      </w:r>
      <w:r w:rsidRPr="00C879A0">
        <w:rPr>
          <w:rFonts w:ascii="HigherStandards-Light" w:hAnsi="HigherStandards-Light"/>
          <w:b/>
          <w:sz w:val="20"/>
          <w:u w:val="single"/>
        </w:rPr>
        <w:t>P-Initiated SSO</w:t>
      </w:r>
      <w:r>
        <w:rPr>
          <w:rFonts w:ascii="HigherStandards-Light" w:hAnsi="HigherStandards-Light"/>
          <w:b/>
          <w:sz w:val="20"/>
          <w:u w:val="single"/>
        </w:rPr>
        <w:t xml:space="preserve"> </w:t>
      </w:r>
    </w:p>
    <w:p w:rsidR="000F214B" w:rsidRDefault="000F214B" w:rsidP="000F214B">
      <w:pPr>
        <w:jc w:val="both"/>
        <w:rPr>
          <w:rFonts w:ascii="HigherStandards-Light" w:hAnsi="HigherStandards-Light"/>
          <w:b/>
          <w:bCs/>
          <w:sz w:val="20"/>
        </w:rPr>
      </w:pPr>
    </w:p>
    <w:p w:rsidR="00A74943" w:rsidRDefault="00A74943" w:rsidP="00A74943">
      <w:pPr>
        <w:ind w:left="360"/>
        <w:jc w:val="both"/>
        <w:rPr>
          <w:rFonts w:ascii="HigherStandards-Light" w:hAnsi="HigherStandards-Light"/>
          <w:sz w:val="20"/>
        </w:rPr>
      </w:pPr>
      <w:r w:rsidRPr="00C879A0">
        <w:rPr>
          <w:rFonts w:ascii="HigherStandards-Light" w:hAnsi="HigherStandards-Light"/>
          <w:b/>
          <w:bCs/>
          <w:sz w:val="20"/>
        </w:rPr>
        <w:t>Response Signing</w:t>
      </w:r>
      <w:r w:rsidRPr="00C879A0">
        <w:rPr>
          <w:rFonts w:ascii="HigherStandards-Light" w:hAnsi="HigherStandards-Light"/>
          <w:sz w:val="20"/>
        </w:rPr>
        <w:t xml:space="preserve">—Asserting and Relying Parties must </w:t>
      </w:r>
      <w:r>
        <w:rPr>
          <w:rFonts w:ascii="HigherStandards-Light" w:hAnsi="HigherStandards-Light"/>
          <w:sz w:val="20"/>
        </w:rPr>
        <w:t xml:space="preserve">confirm that the </w:t>
      </w:r>
      <w:r w:rsidRPr="00C879A0">
        <w:rPr>
          <w:rFonts w:ascii="HigherStandards-Light" w:hAnsi="HigherStandards-Light"/>
          <w:sz w:val="20"/>
        </w:rPr>
        <w:t xml:space="preserve">responses are to be signed.  The standard specification </w:t>
      </w:r>
      <w:r>
        <w:rPr>
          <w:rFonts w:ascii="HigherStandards-Light" w:hAnsi="HigherStandards-Light"/>
          <w:sz w:val="20"/>
        </w:rPr>
        <w:t xml:space="preserve">requires signing for compliance; </w:t>
      </w:r>
      <w:r w:rsidR="00C70A1B">
        <w:rPr>
          <w:rFonts w:ascii="HigherStandards-Light" w:hAnsi="HigherStandards-Light"/>
          <w:sz w:val="20"/>
        </w:rPr>
        <w:t>AgilityHealth</w:t>
      </w:r>
      <w:r>
        <w:rPr>
          <w:rFonts w:ascii="HigherStandards-Light" w:hAnsi="HigherStandards-Light"/>
          <w:sz w:val="20"/>
        </w:rPr>
        <w:t xml:space="preserve"> sign</w:t>
      </w:r>
      <w:r w:rsidR="00C70A1B">
        <w:rPr>
          <w:rFonts w:ascii="HigherStandards-Light" w:hAnsi="HigherStandards-Light"/>
          <w:sz w:val="20"/>
        </w:rPr>
        <w:t>s</w:t>
      </w:r>
      <w:r>
        <w:rPr>
          <w:rFonts w:ascii="HigherStandards-Light" w:hAnsi="HigherStandards-Light"/>
          <w:sz w:val="20"/>
        </w:rPr>
        <w:t xml:space="preserve"> all our SAML assertions.  The vendor will be provided our digital signing certificate for validation.</w:t>
      </w:r>
    </w:p>
    <w:p w:rsidR="000F214B" w:rsidRDefault="000F214B" w:rsidP="00A74943">
      <w:pPr>
        <w:ind w:left="360"/>
        <w:jc w:val="both"/>
        <w:rPr>
          <w:rFonts w:ascii="HigherStandards-Light" w:hAnsi="HigherStandards-Light"/>
          <w:sz w:val="20"/>
        </w:rPr>
      </w:pPr>
    </w:p>
    <w:p w:rsidR="000F214B" w:rsidRDefault="000F214B" w:rsidP="000F214B">
      <w:pPr>
        <w:ind w:left="360"/>
        <w:jc w:val="both"/>
        <w:rPr>
          <w:rFonts w:ascii="HigherStandards-Light" w:hAnsi="HigherStandards-Light"/>
          <w:sz w:val="20"/>
          <w:szCs w:val="20"/>
        </w:rPr>
      </w:pPr>
      <w:r w:rsidRPr="00EC5807">
        <w:rPr>
          <w:rFonts w:ascii="HigherStandards-Light" w:hAnsi="HigherStandards-Light"/>
          <w:b/>
          <w:sz w:val="20"/>
          <w:szCs w:val="20"/>
        </w:rPr>
        <w:t xml:space="preserve">SAML Subject – </w:t>
      </w:r>
      <w:r w:rsidRPr="00EC5807">
        <w:rPr>
          <w:rFonts w:ascii="HigherStandards-Light" w:hAnsi="HigherStandards-Light"/>
          <w:sz w:val="20"/>
          <w:szCs w:val="20"/>
        </w:rPr>
        <w:t>Identifier used in the SAML subject</w:t>
      </w:r>
      <w:r>
        <w:rPr>
          <w:rFonts w:ascii="HigherStandards-Light" w:hAnsi="HigherStandards-Light"/>
          <w:sz w:val="20"/>
          <w:szCs w:val="20"/>
        </w:rPr>
        <w:t xml:space="preserve"> should be the Email </w:t>
      </w:r>
      <w:r w:rsidR="00C70A1B">
        <w:rPr>
          <w:rFonts w:ascii="HigherStandards-Light" w:hAnsi="HigherStandards-Light"/>
          <w:sz w:val="20"/>
          <w:szCs w:val="20"/>
        </w:rPr>
        <w:t>A</w:t>
      </w:r>
      <w:r>
        <w:rPr>
          <w:rFonts w:ascii="HigherStandards-Light" w:hAnsi="HigherStandards-Light"/>
          <w:sz w:val="20"/>
          <w:szCs w:val="20"/>
        </w:rPr>
        <w:t xml:space="preserve">ddress used in </w:t>
      </w:r>
      <w:proofErr w:type="spellStart"/>
      <w:r>
        <w:rPr>
          <w:rFonts w:ascii="HigherStandards-Light" w:hAnsi="HigherStandards-Light"/>
          <w:sz w:val="20"/>
          <w:szCs w:val="20"/>
        </w:rPr>
        <w:t>AgilityHealthRadar</w:t>
      </w:r>
      <w:proofErr w:type="spellEnd"/>
    </w:p>
    <w:p w:rsidR="000F214B" w:rsidRDefault="000F214B" w:rsidP="000F214B">
      <w:pPr>
        <w:jc w:val="both"/>
        <w:rPr>
          <w:rFonts w:ascii="HigherStandards-Light" w:hAnsi="HigherStandards-Light"/>
          <w:sz w:val="20"/>
        </w:rPr>
      </w:pPr>
    </w:p>
    <w:p w:rsidR="00A74943" w:rsidRPr="000F214B" w:rsidRDefault="000F214B" w:rsidP="000F214B">
      <w:pPr>
        <w:ind w:left="360"/>
        <w:jc w:val="both"/>
        <w:rPr>
          <w:rFonts w:ascii="HigherStandards-Light" w:hAnsi="HigherStandards-Light"/>
          <w:sz w:val="20"/>
          <w:szCs w:val="20"/>
        </w:rPr>
      </w:pPr>
      <w:r w:rsidRPr="00EC5807">
        <w:rPr>
          <w:rFonts w:ascii="HigherStandards-Light" w:hAnsi="HigherStandards-Light"/>
          <w:b/>
          <w:sz w:val="20"/>
          <w:szCs w:val="20"/>
        </w:rPr>
        <w:t xml:space="preserve">Additional Attributes – </w:t>
      </w:r>
      <w:r>
        <w:rPr>
          <w:rFonts w:ascii="HigherStandards-Light" w:hAnsi="HigherStandards-Light"/>
          <w:sz w:val="20"/>
          <w:szCs w:val="20"/>
        </w:rPr>
        <w:t>None</w:t>
      </w:r>
    </w:p>
    <w:p w:rsidR="00A74943" w:rsidRPr="00F567FD" w:rsidRDefault="00A74943" w:rsidP="00A74943">
      <w:pPr>
        <w:rPr>
          <w:rFonts w:ascii="HigherStandards-Light" w:hAnsi="HigherStandards-Light"/>
          <w:sz w:val="20"/>
          <w:szCs w:val="20"/>
        </w:rPr>
      </w:pPr>
    </w:p>
    <w:p w:rsidR="00A74943" w:rsidRPr="00C05008" w:rsidRDefault="00A74943" w:rsidP="00A74943">
      <w:pPr>
        <w:pStyle w:val="Heading1"/>
        <w:tabs>
          <w:tab w:val="clear" w:pos="0"/>
          <w:tab w:val="num" w:pos="360"/>
        </w:tabs>
        <w:spacing w:before="120"/>
        <w:rPr>
          <w:rFonts w:ascii="HigherStandards" w:hAnsi="HigherStandards"/>
          <w:sz w:val="24"/>
          <w:szCs w:val="24"/>
        </w:rPr>
      </w:pPr>
      <w:r w:rsidRPr="00C05008">
        <w:rPr>
          <w:rFonts w:ascii="HigherStandards" w:hAnsi="HigherStandards"/>
          <w:sz w:val="24"/>
          <w:szCs w:val="24"/>
        </w:rPr>
        <w:t xml:space="preserve">Service Provider (SP) Connection Information </w:t>
      </w:r>
    </w:p>
    <w:p w:rsidR="00A74943" w:rsidRPr="00C05008" w:rsidRDefault="00A74943" w:rsidP="00A74943">
      <w:pPr>
        <w:ind w:left="360"/>
        <w:rPr>
          <w:rFonts w:ascii="HigherStandards-Light" w:hAnsi="HigherStandards-Light"/>
          <w:sz w:val="20"/>
          <w:szCs w:val="20"/>
        </w:rPr>
      </w:pPr>
    </w:p>
    <w:p w:rsidR="00DA74C0" w:rsidRDefault="00A74943" w:rsidP="000F214B">
      <w:pPr>
        <w:ind w:left="360"/>
        <w:jc w:val="both"/>
        <w:rPr>
          <w:rFonts w:ascii="HigherStandards-Light" w:hAnsi="HigherStandards-Light"/>
          <w:sz w:val="20"/>
          <w:szCs w:val="20"/>
        </w:rPr>
      </w:pPr>
      <w:r w:rsidRPr="00C05008">
        <w:rPr>
          <w:rFonts w:ascii="HigherStandards-Light" w:hAnsi="HigherStandards-Light"/>
          <w:b/>
          <w:bCs/>
          <w:sz w:val="20"/>
          <w:szCs w:val="20"/>
        </w:rPr>
        <w:t xml:space="preserve">Entity ID - </w:t>
      </w:r>
      <w:r w:rsidR="00C70A1B">
        <w:rPr>
          <w:rFonts w:ascii="HigherStandards-Light" w:hAnsi="HigherStandards-Light"/>
          <w:sz w:val="20"/>
          <w:szCs w:val="20"/>
        </w:rPr>
        <w:t>I</w:t>
      </w:r>
      <w:r w:rsidRPr="00C05008">
        <w:rPr>
          <w:rFonts w:ascii="HigherStandards-Light" w:hAnsi="HigherStandards-Light"/>
          <w:sz w:val="20"/>
          <w:szCs w:val="20"/>
        </w:rPr>
        <w:t>dentifies the Identity Provider that issued the assertion. The Service Provider uses it to distinguish a particular Identity Provider from multiple Asserting Parties under one or more security domains.  For a SAML 2.0 connection, this is the “Entity ID” you configure.</w:t>
      </w:r>
    </w:p>
    <w:p w:rsidR="000F214B" w:rsidRPr="000F214B" w:rsidRDefault="000F214B" w:rsidP="000F214B">
      <w:pPr>
        <w:ind w:left="360"/>
        <w:jc w:val="both"/>
        <w:rPr>
          <w:rFonts w:ascii="HigherStandards-Light" w:hAnsi="HigherStandards-Light"/>
          <w:sz w:val="20"/>
          <w:szCs w:val="20"/>
        </w:rPr>
      </w:pPr>
    </w:p>
    <w:p w:rsidR="00DA74C0" w:rsidRPr="00C05008" w:rsidRDefault="00DA74C0" w:rsidP="00DA74C0">
      <w:pPr>
        <w:ind w:left="360"/>
        <w:jc w:val="both"/>
        <w:rPr>
          <w:rFonts w:ascii="HigherStandards-Light" w:hAnsi="HigherStandards-Light"/>
          <w:b/>
          <w:sz w:val="20"/>
          <w:szCs w:val="20"/>
          <w:u w:val="single"/>
        </w:rPr>
      </w:pPr>
      <w:r>
        <w:rPr>
          <w:rFonts w:ascii="HigherStandards-Light" w:hAnsi="HigherStandards-Light"/>
          <w:b/>
          <w:sz w:val="20"/>
          <w:szCs w:val="20"/>
        </w:rPr>
        <w:t>Service Provider</w:t>
      </w:r>
      <w:r w:rsidRPr="00C05008">
        <w:rPr>
          <w:rFonts w:ascii="HigherStandards-Light" w:hAnsi="HigherStandards-Light"/>
          <w:b/>
          <w:sz w:val="20"/>
          <w:szCs w:val="20"/>
        </w:rPr>
        <w:t xml:space="preserve"> Entity IDs: </w:t>
      </w:r>
    </w:p>
    <w:p w:rsidR="00DA74C0" w:rsidRPr="00DA74C0" w:rsidRDefault="00DA74C0" w:rsidP="000F214B">
      <w:pPr>
        <w:ind w:left="360"/>
        <w:jc w:val="both"/>
        <w:rPr>
          <w:rFonts w:ascii="HigherStandards-Light" w:hAnsi="HigherStandards-Light"/>
          <w:b/>
          <w:sz w:val="20"/>
          <w:szCs w:val="20"/>
          <w:highlight w:val="yellow"/>
        </w:rPr>
      </w:pPr>
      <w:r w:rsidRPr="00DA74C0">
        <w:rPr>
          <w:rFonts w:ascii="HigherStandards-Light" w:hAnsi="HigherStandards-Light"/>
          <w:b/>
          <w:sz w:val="20"/>
          <w:szCs w:val="20"/>
          <w:highlight w:val="yellow"/>
        </w:rPr>
        <w:t>Dev:</w:t>
      </w:r>
      <w:r w:rsidR="00D94363">
        <w:rPr>
          <w:rFonts w:ascii="HigherStandards-Light" w:hAnsi="HigherStandards-Light"/>
          <w:b/>
          <w:sz w:val="20"/>
          <w:szCs w:val="20"/>
          <w:highlight w:val="yellow"/>
        </w:rPr>
        <w:t xml:space="preserve"> </w:t>
      </w:r>
    </w:p>
    <w:p w:rsidR="00C70A1B" w:rsidRDefault="00DA74C0" w:rsidP="00D94363">
      <w:pPr>
        <w:ind w:left="360"/>
        <w:jc w:val="both"/>
        <w:rPr>
          <w:rFonts w:ascii="HigherStandards-Light" w:hAnsi="HigherStandards-Light"/>
          <w:b/>
          <w:sz w:val="20"/>
          <w:szCs w:val="20"/>
        </w:rPr>
      </w:pPr>
      <w:r w:rsidRPr="00DA74C0">
        <w:rPr>
          <w:rFonts w:ascii="HigherStandards-Light" w:hAnsi="HigherStandards-Light"/>
          <w:b/>
          <w:sz w:val="20"/>
          <w:szCs w:val="20"/>
          <w:highlight w:val="yellow"/>
        </w:rPr>
        <w:t>Prod:</w:t>
      </w:r>
    </w:p>
    <w:p w:rsidR="000F214B" w:rsidRDefault="00D94363" w:rsidP="00D94363">
      <w:pPr>
        <w:ind w:left="360"/>
        <w:jc w:val="both"/>
        <w:rPr>
          <w:rFonts w:ascii="HigherStandards-Light" w:hAnsi="HigherStandards-Light"/>
          <w:b/>
          <w:sz w:val="20"/>
          <w:szCs w:val="20"/>
          <w:highlight w:val="yellow"/>
        </w:rPr>
      </w:pPr>
      <w:r>
        <w:rPr>
          <w:rFonts w:ascii="HigherStandards-Light" w:hAnsi="HigherStandards-Light"/>
          <w:b/>
          <w:sz w:val="20"/>
          <w:szCs w:val="20"/>
        </w:rPr>
        <w:t xml:space="preserve"> </w:t>
      </w:r>
    </w:p>
    <w:p w:rsidR="000F214B" w:rsidRPr="000F214B" w:rsidRDefault="000F214B" w:rsidP="000F214B">
      <w:pPr>
        <w:ind w:left="360"/>
        <w:jc w:val="both"/>
        <w:rPr>
          <w:rFonts w:ascii="HigherStandards-Light" w:hAnsi="HigherStandards-Light"/>
          <w:b/>
          <w:sz w:val="20"/>
          <w:szCs w:val="20"/>
        </w:rPr>
      </w:pPr>
      <w:r w:rsidRPr="000F214B">
        <w:rPr>
          <w:rFonts w:ascii="HigherStandards-Light" w:hAnsi="HigherStandards-Light"/>
          <w:b/>
          <w:sz w:val="20"/>
          <w:szCs w:val="20"/>
        </w:rPr>
        <w:t xml:space="preserve">Assertion Consumer URL for Dev </w:t>
      </w:r>
    </w:p>
    <w:p w:rsidR="000F214B" w:rsidRPr="00962526" w:rsidRDefault="008A75FE" w:rsidP="000F214B">
      <w:pPr>
        <w:ind w:left="360"/>
        <w:jc w:val="both"/>
        <w:rPr>
          <w:rFonts w:ascii="HigherStandards-Light" w:hAnsi="HigherStandards-Light"/>
          <w:b/>
          <w:sz w:val="20"/>
          <w:szCs w:val="20"/>
        </w:rPr>
      </w:pPr>
      <w:proofErr w:type="spellStart"/>
      <w:r w:rsidRPr="008A75FE">
        <w:rPr>
          <w:rFonts w:ascii="HigherStandards-Light" w:hAnsi="HigherStandards-Light"/>
          <w:b/>
          <w:sz w:val="20"/>
          <w:szCs w:val="20"/>
          <w:highlight w:val="yellow"/>
        </w:rPr>
        <w:t>AgilityHealthRadar</w:t>
      </w:r>
      <w:proofErr w:type="spellEnd"/>
      <w:r w:rsidRPr="008A75FE">
        <w:rPr>
          <w:rFonts w:ascii="HigherStandards-Light" w:hAnsi="HigherStandards-Light"/>
          <w:b/>
          <w:sz w:val="20"/>
          <w:szCs w:val="20"/>
          <w:highlight w:val="yellow"/>
        </w:rPr>
        <w:t xml:space="preserve"> will provide</w:t>
      </w:r>
    </w:p>
    <w:p w:rsidR="00962526" w:rsidRPr="00DA74C0" w:rsidRDefault="00962526" w:rsidP="000F214B">
      <w:pPr>
        <w:ind w:left="360"/>
        <w:jc w:val="both"/>
        <w:rPr>
          <w:rFonts w:ascii="HigherStandards-Light" w:hAnsi="HigherStandards-Light"/>
          <w:b/>
          <w:sz w:val="20"/>
          <w:szCs w:val="20"/>
          <w:highlight w:val="yellow"/>
        </w:rPr>
      </w:pPr>
    </w:p>
    <w:p w:rsidR="000F214B" w:rsidRDefault="000F214B" w:rsidP="000F214B">
      <w:pPr>
        <w:ind w:left="360"/>
        <w:jc w:val="both"/>
        <w:rPr>
          <w:rFonts w:ascii="HigherStandards-Light" w:hAnsi="HigherStandards-Light"/>
          <w:b/>
          <w:sz w:val="20"/>
          <w:szCs w:val="20"/>
        </w:rPr>
      </w:pPr>
      <w:r w:rsidRPr="000F214B">
        <w:rPr>
          <w:rFonts w:ascii="HigherStandards-Light" w:hAnsi="HigherStandards-Light"/>
          <w:b/>
          <w:sz w:val="20"/>
          <w:szCs w:val="20"/>
        </w:rPr>
        <w:t>Assertion Consumer URL for Production</w:t>
      </w:r>
    </w:p>
    <w:p w:rsidR="008A75FE" w:rsidRPr="00962526" w:rsidRDefault="008A75FE" w:rsidP="008A75FE">
      <w:pPr>
        <w:ind w:left="360"/>
        <w:jc w:val="both"/>
        <w:rPr>
          <w:rFonts w:ascii="HigherStandards-Light" w:hAnsi="HigherStandards-Light"/>
          <w:b/>
          <w:sz w:val="20"/>
          <w:szCs w:val="20"/>
        </w:rPr>
      </w:pPr>
      <w:proofErr w:type="spellStart"/>
      <w:r w:rsidRPr="008A75FE">
        <w:rPr>
          <w:rFonts w:ascii="HigherStandards-Light" w:hAnsi="HigherStandards-Light"/>
          <w:b/>
          <w:sz w:val="20"/>
          <w:szCs w:val="20"/>
          <w:highlight w:val="yellow"/>
        </w:rPr>
        <w:t>AgilityHealthRadar</w:t>
      </w:r>
      <w:proofErr w:type="spellEnd"/>
      <w:r w:rsidRPr="008A75FE">
        <w:rPr>
          <w:rFonts w:ascii="HigherStandards-Light" w:hAnsi="HigherStandards-Light"/>
          <w:b/>
          <w:sz w:val="20"/>
          <w:szCs w:val="20"/>
          <w:highlight w:val="yellow"/>
        </w:rPr>
        <w:t xml:space="preserve"> will provide</w:t>
      </w:r>
    </w:p>
    <w:p w:rsidR="000F214B" w:rsidRDefault="000F214B" w:rsidP="00D94363">
      <w:pPr>
        <w:ind w:left="360"/>
        <w:jc w:val="both"/>
        <w:rPr>
          <w:rFonts w:ascii="HigherStandards-Light" w:hAnsi="HigherStandards-Light"/>
          <w:b/>
          <w:sz w:val="20"/>
          <w:szCs w:val="20"/>
          <w:highlight w:val="yellow"/>
        </w:rPr>
      </w:pPr>
    </w:p>
    <w:sectPr w:rsidR="000F214B" w:rsidSect="00C02AC8">
      <w:headerReference w:type="default" r:id="rId9"/>
      <w:footerReference w:type="default" r:id="rId10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6C5" w:rsidRDefault="008256C5">
      <w:r>
        <w:separator/>
      </w:r>
    </w:p>
  </w:endnote>
  <w:endnote w:type="continuationSeparator" w:id="0">
    <w:p w:rsidR="008256C5" w:rsidRDefault="0082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LCLG I+ Univer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gherStandard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igherStandards-Light">
    <w:altName w:val="Calibri"/>
    <w:panose1 w:val="020B0604020202020204"/>
    <w:charset w:val="00"/>
    <w:family w:val="auto"/>
    <w:pitch w:val="variable"/>
    <w:sig w:usb0="800000AF" w:usb1="1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erStandards-Headline">
    <w:altName w:val="Calibri"/>
    <w:panose1 w:val="020B0604020202020204"/>
    <w:charset w:val="00"/>
    <w:family w:val="auto"/>
    <w:pitch w:val="variable"/>
    <w:sig w:usb0="800000A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2AC8" w:rsidRDefault="00C02AC8" w:rsidP="00C02AC8">
    <w:pPr>
      <w:pStyle w:val="Footer"/>
      <w:pBdr>
        <w:top w:val="single" w:sz="4" w:space="1" w:color="auto"/>
      </w:pBdr>
      <w:jc w:val="center"/>
      <w:rPr>
        <w:rFonts w:ascii="HigherStandards" w:hAnsi="HigherStandards"/>
        <w:sz w:val="16"/>
      </w:rPr>
    </w:pPr>
  </w:p>
  <w:p w:rsidR="00C02AC8" w:rsidRPr="00367CE3" w:rsidRDefault="000F214B" w:rsidP="00C02AC8">
    <w:pPr>
      <w:pStyle w:val="Footer"/>
      <w:pBdr>
        <w:top w:val="single" w:sz="4" w:space="1" w:color="auto"/>
      </w:pBdr>
      <w:jc w:val="center"/>
      <w:rPr>
        <w:rFonts w:ascii="HigherStandards" w:hAnsi="HigherStandards"/>
        <w:sz w:val="16"/>
      </w:rPr>
    </w:pPr>
    <w:r>
      <w:rPr>
        <w:rFonts w:ascii="HigherStandards" w:hAnsi="HigherStandards"/>
        <w:sz w:val="16"/>
      </w:rPr>
      <w:t>AgilityHealthRadar</w:t>
    </w:r>
    <w:r w:rsidR="000D21AA" w:rsidRPr="00367CE3">
      <w:rPr>
        <w:rFonts w:ascii="HigherStandards" w:hAnsi="HigherStandards"/>
        <w:sz w:val="16"/>
      </w:rPr>
      <w:tab/>
      <w:t xml:space="preserve"> </w:t>
    </w:r>
    <w:r w:rsidR="000D21AA">
      <w:rPr>
        <w:rFonts w:ascii="HigherStandards" w:hAnsi="HigherStandards"/>
        <w:sz w:val="16"/>
      </w:rPr>
      <w:tab/>
    </w:r>
    <w:r w:rsidR="000D21AA" w:rsidRPr="00367CE3">
      <w:rPr>
        <w:rFonts w:ascii="HigherStandards" w:hAnsi="HigherStandards"/>
        <w:sz w:val="16"/>
      </w:rPr>
      <w:t xml:space="preserve">Page </w:t>
    </w:r>
    <w:r w:rsidR="000D21AA" w:rsidRPr="00367CE3">
      <w:rPr>
        <w:rFonts w:ascii="HigherStandards" w:hAnsi="HigherStandards"/>
        <w:sz w:val="16"/>
      </w:rPr>
      <w:fldChar w:fldCharType="begin"/>
    </w:r>
    <w:r w:rsidR="000D21AA" w:rsidRPr="00367CE3">
      <w:rPr>
        <w:rFonts w:ascii="HigherStandards" w:hAnsi="HigherStandards"/>
        <w:sz w:val="16"/>
      </w:rPr>
      <w:instrText xml:space="preserve"> PAGE </w:instrText>
    </w:r>
    <w:r w:rsidR="000D21AA" w:rsidRPr="00367CE3">
      <w:rPr>
        <w:rFonts w:ascii="HigherStandards" w:hAnsi="HigherStandards"/>
        <w:sz w:val="16"/>
      </w:rPr>
      <w:fldChar w:fldCharType="separate"/>
    </w:r>
    <w:r w:rsidR="00871355">
      <w:rPr>
        <w:rFonts w:ascii="HigherStandards" w:hAnsi="HigherStandards"/>
        <w:noProof/>
        <w:sz w:val="16"/>
      </w:rPr>
      <w:t>1</w:t>
    </w:r>
    <w:r w:rsidR="000D21AA" w:rsidRPr="00367CE3">
      <w:rPr>
        <w:rFonts w:ascii="HigherStandards" w:hAnsi="HigherStandards"/>
        <w:sz w:val="16"/>
      </w:rPr>
      <w:fldChar w:fldCharType="end"/>
    </w:r>
    <w:r w:rsidR="000D21AA" w:rsidRPr="00367CE3">
      <w:rPr>
        <w:rFonts w:ascii="HigherStandards" w:hAnsi="HigherStandards"/>
        <w:sz w:val="16"/>
      </w:rPr>
      <w:t xml:space="preserve"> of </w:t>
    </w:r>
    <w:r w:rsidR="000D21AA" w:rsidRPr="00367CE3">
      <w:rPr>
        <w:rFonts w:ascii="HigherStandards" w:hAnsi="HigherStandards"/>
        <w:sz w:val="16"/>
      </w:rPr>
      <w:fldChar w:fldCharType="begin"/>
    </w:r>
    <w:r w:rsidR="000D21AA" w:rsidRPr="00367CE3">
      <w:rPr>
        <w:rFonts w:ascii="HigherStandards" w:hAnsi="HigherStandards"/>
        <w:sz w:val="16"/>
      </w:rPr>
      <w:instrText xml:space="preserve"> NUMPAGES </w:instrText>
    </w:r>
    <w:r w:rsidR="000D21AA" w:rsidRPr="00367CE3">
      <w:rPr>
        <w:rFonts w:ascii="HigherStandards" w:hAnsi="HigherStandards"/>
        <w:sz w:val="16"/>
      </w:rPr>
      <w:fldChar w:fldCharType="separate"/>
    </w:r>
    <w:r w:rsidR="00871355">
      <w:rPr>
        <w:rFonts w:ascii="HigherStandards" w:hAnsi="HigherStandards"/>
        <w:noProof/>
        <w:sz w:val="16"/>
      </w:rPr>
      <w:t>5</w:t>
    </w:r>
    <w:r w:rsidR="000D21AA" w:rsidRPr="00367CE3">
      <w:rPr>
        <w:rFonts w:ascii="HigherStandards" w:hAnsi="HigherStandard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6C5" w:rsidRDefault="008256C5">
      <w:r>
        <w:separator/>
      </w:r>
    </w:p>
  </w:footnote>
  <w:footnote w:type="continuationSeparator" w:id="0">
    <w:p w:rsidR="008256C5" w:rsidRDefault="0082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2AC8" w:rsidRPr="00AA641B" w:rsidRDefault="000D21AA" w:rsidP="00C02AC8">
    <w:pPr>
      <w:pStyle w:val="Header"/>
      <w:pBdr>
        <w:bottom w:val="single" w:sz="4" w:space="1" w:color="auto"/>
      </w:pBdr>
      <w:spacing w:after="120"/>
      <w:rPr>
        <w:rFonts w:ascii="Comic Sans MS" w:hAnsi="Comic Sans MS"/>
        <w:sz w:val="20"/>
        <w:szCs w:val="20"/>
      </w:rPr>
    </w:pPr>
    <w:r w:rsidRPr="00730524">
      <w:rPr>
        <w:rFonts w:ascii="HigherStandards-Headline" w:hAnsi="HigherStandards-Headline"/>
        <w:b/>
        <w:szCs w:val="28"/>
      </w:rPr>
      <w:t xml:space="preserve">SAML 2.0 - </w:t>
    </w:r>
    <w:r w:rsidR="000F214B">
      <w:rPr>
        <w:rFonts w:ascii="HigherStandards-Headline" w:hAnsi="HigherStandards-Headline"/>
        <w:b/>
        <w:szCs w:val="28"/>
      </w:rPr>
      <w:t>SP</w:t>
    </w:r>
    <w:r w:rsidRPr="00730524">
      <w:rPr>
        <w:rFonts w:ascii="HigherStandards-Headline" w:hAnsi="HigherStandards-Headline"/>
        <w:b/>
        <w:szCs w:val="28"/>
      </w:rPr>
      <w:t>P-Initiated SSO</w:t>
    </w:r>
    <w:r w:rsidRPr="00730524">
      <w:rPr>
        <w:rFonts w:ascii="HigherStandards-Headline" w:hAnsi="HigherStandards-Headline"/>
        <w:sz w:val="1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241"/>
    <w:multiLevelType w:val="multilevel"/>
    <w:tmpl w:val="B444247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29D1B39"/>
    <w:multiLevelType w:val="hybridMultilevel"/>
    <w:tmpl w:val="77F444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14E04"/>
    <w:multiLevelType w:val="hybridMultilevel"/>
    <w:tmpl w:val="60DC7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188738">
    <w:abstractNumId w:val="0"/>
  </w:num>
  <w:num w:numId="2" w16cid:durableId="452292177">
    <w:abstractNumId w:val="1"/>
  </w:num>
  <w:num w:numId="3" w16cid:durableId="1457674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43"/>
    <w:rsid w:val="000D21AA"/>
    <w:rsid w:val="000F214B"/>
    <w:rsid w:val="001C7826"/>
    <w:rsid w:val="002E1DB4"/>
    <w:rsid w:val="003E3F80"/>
    <w:rsid w:val="00555E4E"/>
    <w:rsid w:val="00613947"/>
    <w:rsid w:val="0078345F"/>
    <w:rsid w:val="007D34D1"/>
    <w:rsid w:val="008256C5"/>
    <w:rsid w:val="00871355"/>
    <w:rsid w:val="008A75FE"/>
    <w:rsid w:val="00962526"/>
    <w:rsid w:val="009B6052"/>
    <w:rsid w:val="00A74943"/>
    <w:rsid w:val="00AA6D6C"/>
    <w:rsid w:val="00B2664B"/>
    <w:rsid w:val="00C02AC8"/>
    <w:rsid w:val="00C33BD2"/>
    <w:rsid w:val="00C70A1B"/>
    <w:rsid w:val="00D24D04"/>
    <w:rsid w:val="00D74938"/>
    <w:rsid w:val="00D94363"/>
    <w:rsid w:val="00DA74C0"/>
    <w:rsid w:val="00E443DA"/>
    <w:rsid w:val="00E46498"/>
    <w:rsid w:val="00E5011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DD915"/>
  <w15:chartTrackingRefBased/>
  <w15:docId w15:val="{45234B75-A8BE-6F4D-9638-BA1F04D0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14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9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49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49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7494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494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494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7494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7494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7494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49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7494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A7494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A749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A7494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7494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A749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A7494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A74943"/>
    <w:rPr>
      <w:rFonts w:ascii="Arial" w:eastAsia="Times New Roman" w:hAnsi="Arial" w:cs="Arial"/>
    </w:rPr>
  </w:style>
  <w:style w:type="character" w:styleId="Hyperlink">
    <w:name w:val="Hyperlink"/>
    <w:rsid w:val="00A74943"/>
    <w:rPr>
      <w:color w:val="0000FF"/>
      <w:u w:val="single"/>
    </w:rPr>
  </w:style>
  <w:style w:type="paragraph" w:styleId="Header">
    <w:name w:val="header"/>
    <w:basedOn w:val="Normal"/>
    <w:link w:val="HeaderChar"/>
    <w:rsid w:val="00A749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49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7494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4943"/>
    <w:rPr>
      <w:rFonts w:ascii="Times New Roman" w:eastAsia="Times New Roman" w:hAnsi="Times New Roman" w:cs="Times New Roman"/>
      <w:sz w:val="24"/>
      <w:szCs w:val="24"/>
    </w:rPr>
  </w:style>
  <w:style w:type="character" w:customStyle="1" w:styleId="SC82523">
    <w:name w:val="SC.8.2523"/>
    <w:rsid w:val="00A74943"/>
    <w:rPr>
      <w:rFonts w:cs="NLCLG I+ Univers"/>
      <w:b/>
      <w:bCs/>
      <w:color w:val="000000"/>
      <w:sz w:val="20"/>
      <w:szCs w:val="20"/>
    </w:rPr>
  </w:style>
  <w:style w:type="paragraph" w:customStyle="1" w:styleId="StyleHeading1ArialNarrow12pt1">
    <w:name w:val="Style Heading 1 + Arial Narrow 12 pt1"/>
    <w:basedOn w:val="Heading1"/>
    <w:rsid w:val="00A74943"/>
    <w:rPr>
      <w:rFonts w:ascii="Arial Narrow" w:hAnsi="Arial Narrow"/>
      <w:sz w:val="24"/>
    </w:rPr>
  </w:style>
  <w:style w:type="character" w:styleId="UnresolvedMention">
    <w:name w:val="Unresolved Mention"/>
    <w:uiPriority w:val="99"/>
    <w:semiHidden/>
    <w:unhideWhenUsed/>
    <w:rsid w:val="000F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E952981A6AC4B9BA1858E80055A40" ma:contentTypeVersion="0" ma:contentTypeDescription="Create a new document." ma:contentTypeScope="" ma:versionID="6290312bd31daaa4dbf0513a8f4c4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118A5-3973-4DFE-B722-FFF553EB5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F0AD-27AD-42CE-8A66-D22FF0952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1704</CharactersWithSpaces>
  <SharedDoc>false</SharedDoc>
  <HLinks>
    <vt:vector size="6" baseType="variant"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https://amex.agilityhealthradar.com/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Osuna Gerdel, Oriana</dc:creator>
  <cp:keywords/>
  <dc:description/>
  <cp:lastModifiedBy>Microsoft Office User</cp:lastModifiedBy>
  <cp:revision>3</cp:revision>
  <dcterms:created xsi:type="dcterms:W3CDTF">2023-06-26T13:40:00Z</dcterms:created>
  <dcterms:modified xsi:type="dcterms:W3CDTF">2023-06-26T13:46:00Z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0x0101007FAE952981A6AC4B9BA1858E80055A40</vt:lpwstr>
  </property>
  <property fmtid="{D5CDD505-2E9C-101B-9397-08002B2CF9AE}" pid="3" name="TitusGUID">
    <vt:lpwstr>dc9a00f4-eb8e-496e-96d2-04652207f5b1</vt:lpwstr>
  </property>
  <property fmtid="{D5CDD505-2E9C-101B-9397-08002B2CF9AE}" pid="4" name="Classification">
    <vt:lpwstr>Unclassified</vt:lpwstr>
  </property>
  <property fmtid="{D5CDD505-2E9C-101B-9397-08002B2CF9AE}" pid="5" name="_NewReviewCycle">
    <vt:lpwstr/>
  </property>
</Properties>
</file>